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right="0" w:firstLine="0"/>
        <w:rPr>
          <w:rFonts w:ascii="Arial" w:cs="Arial" w:eastAsia="Arial" w:hAnsi="Arial"/>
          <w:color w:val="ffffff"/>
          <w:sz w:val="30"/>
          <w:szCs w:val="30"/>
          <w:u w:val="none"/>
        </w:rPr>
      </w:pPr>
      <w:r w:rsidDel="00000000" w:rsidR="00000000" w:rsidRPr="00000000">
        <w:rPr>
          <w:rFonts w:ascii="Arial" w:cs="Arial" w:eastAsia="Arial" w:hAnsi="Arial"/>
          <w:color w:val="ffffff"/>
          <w:sz w:val="30"/>
          <w:szCs w:val="30"/>
          <w:u w:val="none"/>
          <w:rtl w:val="0"/>
        </w:rPr>
        <w:t xml:space="preserve">Frequently Asked Questions</w:t>
      </w:r>
    </w:p>
    <w:p w:rsidR="00000000" w:rsidDel="00000000" w:rsidP="00000000" w:rsidRDefault="00000000" w:rsidRPr="00000000" w14:paraId="00000002">
      <w:pPr>
        <w:spacing w:line="276" w:lineRule="auto"/>
        <w:ind w:left="0" w:right="0" w:firstLine="0"/>
        <w:rPr>
          <w:rFonts w:ascii="Arial" w:cs="Arial" w:eastAsia="Arial" w:hAnsi="Arial"/>
          <w:color w:val="ffffff"/>
          <w:u w:val="none"/>
        </w:rPr>
      </w:pPr>
      <w:r w:rsidDel="00000000" w:rsidR="00000000" w:rsidRPr="00000000">
        <w:rPr>
          <w:rFonts w:ascii="Arial" w:cs="Arial" w:eastAsia="Arial" w:hAnsi="Arial"/>
          <w:color w:val="ffffff"/>
          <w:u w:val="none"/>
          <w:rtl w:val="0"/>
        </w:rPr>
        <w:t xml:space="preserve">Medicare Reimbursement for Durable Medical Equipment</w:t>
        <w:br w:type="textWrapping"/>
      </w:r>
    </w:p>
    <w:p w:rsidR="00000000" w:rsidDel="00000000" w:rsidP="00000000" w:rsidRDefault="00000000" w:rsidRPr="00000000" w14:paraId="00000003">
      <w:pPr>
        <w:numPr>
          <w:ilvl w:val="0"/>
          <w:numId w:val="1"/>
        </w:numPr>
        <w:spacing w:line="276" w:lineRule="auto"/>
        <w:ind w:left="0" w:right="0" w:firstLine="0"/>
        <w:jc w:val="left"/>
        <w:rPr>
          <w:rFonts w:ascii="Arial" w:cs="Arial" w:eastAsia="Arial" w:hAnsi="Arial"/>
          <w:u w:val="none"/>
        </w:rPr>
      </w:pPr>
      <w:r w:rsidDel="00000000" w:rsidR="00000000" w:rsidRPr="00000000">
        <w:rPr>
          <w:rFonts w:ascii="Arial" w:cs="Arial" w:eastAsia="Arial" w:hAnsi="Arial"/>
          <w:u w:val="none"/>
          <w:rtl w:val="0"/>
        </w:rPr>
        <w:t xml:space="preserve">All criteria for prescribed equipment must be documented in the progress note/ F2F visit. </w:t>
      </w:r>
      <w:r w:rsidDel="00000000" w:rsidR="00000000" w:rsidRPr="00000000">
        <w:rPr>
          <w:rFonts w:ascii="Arial" w:cs="Arial" w:eastAsia="Arial" w:hAnsi="Arial"/>
          <w:rtl w:val="0"/>
        </w:rPr>
        <w:t xml:space="preserve">Criteria will not be accepted on the script or letterhead</w:t>
      </w:r>
      <w:r w:rsidDel="00000000" w:rsidR="00000000" w:rsidRPr="00000000">
        <w:rPr>
          <w:rFonts w:ascii="Arial" w:cs="Arial" w:eastAsia="Arial" w:hAnsi="Arial"/>
          <w:u w:val="none"/>
          <w:rtl w:val="0"/>
        </w:rPr>
        <w:t xml:space="preserve">. </w:t>
      </w:r>
    </w:p>
    <w:p w:rsidR="00000000" w:rsidDel="00000000" w:rsidP="00000000" w:rsidRDefault="00000000" w:rsidRPr="00000000" w14:paraId="00000004">
      <w:pPr>
        <w:numPr>
          <w:ilvl w:val="0"/>
          <w:numId w:val="1"/>
        </w:numPr>
        <w:spacing w:line="276" w:lineRule="auto"/>
        <w:ind w:left="0" w:right="0" w:firstLine="0"/>
        <w:jc w:val="left"/>
        <w:rPr>
          <w:rFonts w:ascii="Arial" w:cs="Arial" w:eastAsia="Arial" w:hAnsi="Arial"/>
          <w:u w:val="none"/>
        </w:rPr>
      </w:pPr>
      <w:r w:rsidDel="00000000" w:rsidR="00000000" w:rsidRPr="00000000">
        <w:rPr>
          <w:rFonts w:ascii="Arial" w:cs="Arial" w:eastAsia="Arial" w:hAnsi="Arial"/>
          <w:u w:val="none"/>
          <w:rtl w:val="0"/>
        </w:rPr>
        <w:t xml:space="preserve">F2F encounters for all DME (except oxygen)must be within 6 months of order. For oxygen orders from the physician office, the F2F visit must be within 30 days. • The face-to-face requirements can be further reviewed in the MLN Matters article (MM8304) published by CMS. There is also a Dear Physician letter published by CGS that further discusses the 6 month time-frame.</w:t>
      </w:r>
    </w:p>
    <w:p w:rsidR="00000000" w:rsidDel="00000000" w:rsidP="00000000" w:rsidRDefault="00000000" w:rsidRPr="00000000" w14:paraId="00000005">
      <w:pPr>
        <w:numPr>
          <w:ilvl w:val="1"/>
          <w:numId w:val="1"/>
        </w:numPr>
        <w:spacing w:line="276" w:lineRule="auto"/>
        <w:ind w:left="810" w:right="0" w:hanging="360"/>
        <w:jc w:val="left"/>
        <w:rPr>
          <w:rFonts w:ascii="Arial" w:cs="Arial" w:eastAsia="Arial" w:hAnsi="Arial"/>
          <w:u w:val="none"/>
        </w:rPr>
      </w:pPr>
      <w:hyperlink r:id="rId6">
        <w:r w:rsidDel="00000000" w:rsidR="00000000" w:rsidRPr="00000000">
          <w:rPr>
            <w:rFonts w:ascii="Arial" w:cs="Arial" w:eastAsia="Arial" w:hAnsi="Arial"/>
            <w:color w:val="1155cc"/>
            <w:u w:val="single"/>
            <w:rtl w:val="0"/>
          </w:rPr>
          <w:t xml:space="preserve">https://www.cms.gov/Research-Statistics-Data-and-Systems/Monitoring-Programs/Medicare-FFS-CompliancePrograms/Medical-Review/Downloads/DetailedWrittenOrdersandFacetoFaceEncounters.pdf</w:t>
        </w:r>
      </w:hyperlink>
      <w:r w:rsidDel="00000000" w:rsidR="00000000" w:rsidRPr="00000000">
        <w:rPr>
          <w:rtl w:val="0"/>
        </w:rPr>
      </w:r>
    </w:p>
    <w:p w:rsidR="00000000" w:rsidDel="00000000" w:rsidP="00000000" w:rsidRDefault="00000000" w:rsidRPr="00000000" w14:paraId="00000006">
      <w:pPr>
        <w:numPr>
          <w:ilvl w:val="1"/>
          <w:numId w:val="1"/>
        </w:numPr>
        <w:spacing w:line="276" w:lineRule="auto"/>
        <w:ind w:left="810" w:right="0" w:hanging="360"/>
        <w:jc w:val="left"/>
        <w:rPr>
          <w:rFonts w:ascii="Arial" w:cs="Arial" w:eastAsia="Arial" w:hAnsi="Arial"/>
          <w:u w:val="none"/>
        </w:rPr>
      </w:pPr>
      <w:hyperlink r:id="rId7">
        <w:r w:rsidDel="00000000" w:rsidR="00000000" w:rsidRPr="00000000">
          <w:rPr>
            <w:rFonts w:ascii="Arial" w:cs="Arial" w:eastAsia="Arial" w:hAnsi="Arial"/>
            <w:color w:val="1155cc"/>
            <w:u w:val="single"/>
            <w:rtl w:val="0"/>
          </w:rPr>
          <w:t xml:space="preserve">http://www.cgsmedicare.com/pdf/f2f_wo_requirements_highcostdme.pdf</w:t>
        </w:r>
      </w:hyperlink>
      <w:r w:rsidDel="00000000" w:rsidR="00000000" w:rsidRPr="00000000">
        <w:rPr>
          <w:rtl w:val="0"/>
        </w:rPr>
      </w:r>
    </w:p>
    <w:p w:rsidR="00000000" w:rsidDel="00000000" w:rsidP="00000000" w:rsidRDefault="00000000" w:rsidRPr="00000000" w14:paraId="00000007">
      <w:pPr>
        <w:numPr>
          <w:ilvl w:val="0"/>
          <w:numId w:val="1"/>
        </w:numPr>
        <w:spacing w:line="276" w:lineRule="auto"/>
        <w:ind w:left="0" w:right="0" w:firstLine="0"/>
        <w:jc w:val="left"/>
        <w:rPr>
          <w:rFonts w:ascii="Arial" w:cs="Arial" w:eastAsia="Arial" w:hAnsi="Arial"/>
          <w:u w:val="none"/>
        </w:rPr>
      </w:pPr>
      <w:r w:rsidDel="00000000" w:rsidR="00000000" w:rsidRPr="00000000">
        <w:rPr>
          <w:rFonts w:ascii="Arial" w:cs="Arial" w:eastAsia="Arial" w:hAnsi="Arial"/>
          <w:u w:val="none"/>
          <w:rtl w:val="0"/>
        </w:rPr>
        <w:t xml:space="preserve">Completed criteria (signed by physician) must accompany the written order prior to equipment delivery. Script must be signed and dated on or after the F2F encounter. If an addendum is added to the F2F note for additional criteria, a new script must also be written. </w:t>
      </w:r>
    </w:p>
    <w:p w:rsidR="00000000" w:rsidDel="00000000" w:rsidP="00000000" w:rsidRDefault="00000000" w:rsidRPr="00000000" w14:paraId="00000008">
      <w:pPr>
        <w:numPr>
          <w:ilvl w:val="1"/>
          <w:numId w:val="1"/>
        </w:numPr>
        <w:spacing w:line="276" w:lineRule="auto"/>
        <w:ind w:left="810" w:right="0" w:hanging="360"/>
        <w:jc w:val="left"/>
        <w:rPr>
          <w:rFonts w:ascii="Arial" w:cs="Arial" w:eastAsia="Arial" w:hAnsi="Arial"/>
          <w:u w:val="none"/>
        </w:rPr>
      </w:pPr>
      <w:r w:rsidDel="00000000" w:rsidR="00000000" w:rsidRPr="00000000">
        <w:rPr>
          <w:rFonts w:ascii="Arial" w:cs="Arial" w:eastAsia="Arial" w:hAnsi="Arial"/>
          <w:u w:val="none"/>
          <w:rtl w:val="0"/>
        </w:rPr>
        <w:t xml:space="preserve">An addendum should not be dated more than two weeks after a F2F encounter with the patient. </w:t>
      </w:r>
    </w:p>
    <w:p w:rsidR="00000000" w:rsidDel="00000000" w:rsidP="00000000" w:rsidRDefault="00000000" w:rsidRPr="00000000" w14:paraId="00000009">
      <w:pPr>
        <w:numPr>
          <w:ilvl w:val="0"/>
          <w:numId w:val="1"/>
        </w:numPr>
        <w:spacing w:line="276" w:lineRule="auto"/>
        <w:ind w:left="0" w:right="0" w:firstLine="0"/>
        <w:jc w:val="left"/>
        <w:rPr>
          <w:rFonts w:ascii="Arial" w:cs="Arial" w:eastAsia="Arial" w:hAnsi="Arial"/>
          <w:u w:val="none"/>
        </w:rPr>
      </w:pPr>
      <w:r w:rsidDel="00000000" w:rsidR="00000000" w:rsidRPr="00000000">
        <w:rPr>
          <w:rFonts w:ascii="Arial" w:cs="Arial" w:eastAsia="Arial" w:hAnsi="Arial"/>
          <w:u w:val="none"/>
          <w:rtl w:val="0"/>
        </w:rPr>
        <w:t xml:space="preserve">Orders for oxygen equipment must include the prescribed liter flow and duration.</w:t>
      </w:r>
    </w:p>
    <w:p w:rsidR="00000000" w:rsidDel="00000000" w:rsidP="00000000" w:rsidRDefault="00000000" w:rsidRPr="00000000" w14:paraId="0000000A">
      <w:pPr>
        <w:numPr>
          <w:ilvl w:val="0"/>
          <w:numId w:val="1"/>
        </w:numPr>
        <w:spacing w:line="276" w:lineRule="auto"/>
        <w:ind w:left="0" w:right="0" w:firstLine="0"/>
        <w:jc w:val="left"/>
        <w:rPr>
          <w:rFonts w:ascii="Arial" w:cs="Arial" w:eastAsia="Arial" w:hAnsi="Arial"/>
          <w:u w:val="none"/>
        </w:rPr>
      </w:pPr>
      <w:r w:rsidDel="00000000" w:rsidR="00000000" w:rsidRPr="00000000">
        <w:rPr>
          <w:rFonts w:ascii="Arial" w:cs="Arial" w:eastAsia="Arial" w:hAnsi="Arial"/>
          <w:u w:val="none"/>
          <w:rtl w:val="0"/>
        </w:rPr>
        <w:t xml:space="preserve">Qualifying exertion/ambulation SATS must include all 3 steps: </w:t>
      </w:r>
    </w:p>
    <w:p w:rsidR="00000000" w:rsidDel="00000000" w:rsidP="00000000" w:rsidRDefault="00000000" w:rsidRPr="00000000" w14:paraId="0000000B">
      <w:pPr>
        <w:numPr>
          <w:ilvl w:val="1"/>
          <w:numId w:val="1"/>
        </w:numPr>
        <w:spacing w:line="276" w:lineRule="auto"/>
        <w:ind w:left="720" w:right="0" w:hanging="360"/>
        <w:jc w:val="left"/>
        <w:rPr>
          <w:rFonts w:ascii="Arial" w:cs="Arial" w:eastAsia="Arial" w:hAnsi="Arial"/>
          <w:u w:val="none"/>
        </w:rPr>
      </w:pPr>
      <w:r w:rsidDel="00000000" w:rsidR="00000000" w:rsidRPr="00000000">
        <w:rPr>
          <w:rFonts w:ascii="Arial" w:cs="Arial" w:eastAsia="Arial" w:hAnsi="Arial"/>
          <w:u w:val="none"/>
          <w:rtl w:val="0"/>
        </w:rPr>
        <w:t xml:space="preserve">Room Air at Rest </w:t>
      </w:r>
    </w:p>
    <w:p w:rsidR="00000000" w:rsidDel="00000000" w:rsidP="00000000" w:rsidRDefault="00000000" w:rsidRPr="00000000" w14:paraId="0000000C">
      <w:pPr>
        <w:numPr>
          <w:ilvl w:val="1"/>
          <w:numId w:val="1"/>
        </w:numPr>
        <w:spacing w:line="276" w:lineRule="auto"/>
        <w:ind w:left="720" w:right="0" w:hanging="360"/>
        <w:jc w:val="left"/>
        <w:rPr>
          <w:rFonts w:ascii="Arial" w:cs="Arial" w:eastAsia="Arial" w:hAnsi="Arial"/>
          <w:u w:val="none"/>
        </w:rPr>
      </w:pPr>
      <w:r w:rsidDel="00000000" w:rsidR="00000000" w:rsidRPr="00000000">
        <w:rPr>
          <w:rFonts w:ascii="Arial" w:cs="Arial" w:eastAsia="Arial" w:hAnsi="Arial"/>
          <w:u w:val="none"/>
          <w:rtl w:val="0"/>
        </w:rPr>
        <w:t xml:space="preserve">Ambulating on room air </w:t>
      </w:r>
    </w:p>
    <w:p w:rsidR="00000000" w:rsidDel="00000000" w:rsidP="00000000" w:rsidRDefault="00000000" w:rsidRPr="00000000" w14:paraId="0000000D">
      <w:pPr>
        <w:numPr>
          <w:ilvl w:val="1"/>
          <w:numId w:val="1"/>
        </w:numPr>
        <w:spacing w:line="276" w:lineRule="auto"/>
        <w:ind w:left="720" w:right="0" w:hanging="360"/>
        <w:jc w:val="left"/>
        <w:rPr>
          <w:rFonts w:ascii="Arial" w:cs="Arial" w:eastAsia="Arial" w:hAnsi="Arial"/>
          <w:u w:val="none"/>
        </w:rPr>
      </w:pPr>
      <w:r w:rsidDel="00000000" w:rsidR="00000000" w:rsidRPr="00000000">
        <w:rPr>
          <w:rFonts w:ascii="Arial" w:cs="Arial" w:eastAsia="Arial" w:hAnsi="Arial"/>
          <w:u w:val="none"/>
          <w:rtl w:val="0"/>
        </w:rPr>
        <w:t xml:space="preserve">Ambulating on O2 (document liter flow) n Medicare beneficiaries are only eligible for new equipment after 5 years</w:t>
      </w:r>
      <w:r w:rsidDel="00000000" w:rsidR="00000000" w:rsidRPr="00000000">
        <w:rPr>
          <w:rtl w:val="0"/>
        </w:rPr>
      </w:r>
    </w:p>
    <w:sectPr>
      <w:headerReference r:id="rId8" w:type="default"/>
      <w:footerReference r:id="rId9"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nton">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u w:val="none"/>
      </w:rPr>
      <mc:AlternateContent>
        <mc:Choice Requires="wpg">
          <w:drawing>
            <wp:inline distB="114300" distT="114300" distL="114300" distR="114300">
              <wp:extent cx="7772400" cy="733245"/>
              <wp:effectExtent b="0" l="0" r="0" t="0"/>
              <wp:docPr id="2" name=""/>
              <a:graphic>
                <a:graphicData uri="http://schemas.microsoft.com/office/word/2010/wordprocessingGroup">
                  <wpg:wgp>
                    <wpg:cNvGrpSpPr/>
                    <wpg:grpSpPr>
                      <a:xfrm>
                        <a:off x="58825" y="2038975"/>
                        <a:ext cx="7772400" cy="733245"/>
                        <a:chOff x="58825" y="2038975"/>
                        <a:chExt cx="7561175" cy="696000"/>
                      </a:xfrm>
                    </wpg:grpSpPr>
                    <wps:wsp>
                      <wps:cNvSpPr/>
                      <wps:cNvPr id="3" name="Shape 3"/>
                      <wps:spPr>
                        <a:xfrm>
                          <a:off x="58825" y="2038975"/>
                          <a:ext cx="7620000" cy="696000"/>
                        </a:xfrm>
                        <a:prstGeom prst="triangle">
                          <a:avLst>
                            <a:gd fmla="val 50300" name="adj"/>
                          </a:avLst>
                        </a:prstGeom>
                        <a:solidFill>
                          <a:srgbClr val="E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 name="Shape 4"/>
                      <wps:spPr>
                        <a:xfrm>
                          <a:off x="2360725" y="2102875"/>
                          <a:ext cx="3016200" cy="632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on" w:cs="Anton" w:eastAsia="Anton" w:hAnsi="Anton"/>
                                <w:b w:val="0"/>
                                <w:i w:val="0"/>
                                <w:smallCaps w:val="0"/>
                                <w:strike w:val="0"/>
                                <w:color w:val="ffffff"/>
                                <w:sz w:val="18"/>
                                <w:vertAlign w:val="baseline"/>
                              </w:rPr>
                              <w:t xml:space="preserve">780 US HWy 1 Suite 100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on" w:cs="Anton" w:eastAsia="Anton" w:hAnsi="Anton"/>
                                <w:b w:val="0"/>
                                <w:i w:val="0"/>
                                <w:smallCaps w:val="0"/>
                                <w:strike w:val="0"/>
                                <w:color w:val="ffffff"/>
                                <w:sz w:val="18"/>
                                <w:vertAlign w:val="baseline"/>
                              </w:rPr>
                            </w:r>
                            <w:r w:rsidDel="00000000" w:rsidR="00000000" w:rsidRPr="00000000">
                              <w:rPr>
                                <w:rFonts w:ascii="Anton" w:cs="Anton" w:eastAsia="Anton" w:hAnsi="Anton"/>
                                <w:b w:val="0"/>
                                <w:i w:val="0"/>
                                <w:smallCaps w:val="0"/>
                                <w:strike w:val="0"/>
                                <w:color w:val="ffffff"/>
                                <w:sz w:val="18"/>
                                <w:vertAlign w:val="baseline"/>
                              </w:rPr>
                              <w:t xml:space="preserve">Vero Beach, FL 32962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on" w:cs="Anton" w:eastAsia="Anton" w:hAnsi="Anton"/>
                                <w:b w:val="0"/>
                                <w:i w:val="0"/>
                                <w:smallCaps w:val="0"/>
                                <w:strike w:val="0"/>
                                <w:color w:val="ffffff"/>
                                <w:sz w:val="18"/>
                                <w:vertAlign w:val="baseline"/>
                              </w:rPr>
                            </w:r>
                            <w:r w:rsidDel="00000000" w:rsidR="00000000" w:rsidRPr="00000000">
                              <w:rPr>
                                <w:rFonts w:ascii="Anton" w:cs="Anton" w:eastAsia="Anton" w:hAnsi="Anton"/>
                                <w:b w:val="0"/>
                                <w:i w:val="0"/>
                                <w:smallCaps w:val="0"/>
                                <w:strike w:val="0"/>
                                <w:color w:val="ffffff"/>
                                <w:sz w:val="18"/>
                                <w:vertAlign w:val="baseline"/>
                              </w:rPr>
                              <w:t xml:space="preserve">P:772-226-7700  F: 888-908-8578</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on" w:cs="Anton" w:eastAsia="Anton" w:hAnsi="Anton"/>
                                <w:b w:val="0"/>
                                <w:i w:val="0"/>
                                <w:smallCaps w:val="0"/>
                                <w:strike w:val="0"/>
                                <w:color w:val="ffffff"/>
                                <w:sz w:val="18"/>
                                <w:vertAlign w:val="baseline"/>
                              </w:rPr>
                            </w:r>
                            <w:r w:rsidDel="00000000" w:rsidR="00000000" w:rsidRPr="00000000">
                              <w:rPr>
                                <w:rFonts w:ascii="Anton" w:cs="Anton" w:eastAsia="Anton" w:hAnsi="Anton"/>
                                <w:b w:val="0"/>
                                <w:i w:val="0"/>
                                <w:smallCaps w:val="0"/>
                                <w:strike w:val="0"/>
                                <w:color w:val="ffffff"/>
                                <w:sz w:val="18"/>
                                <w:vertAlign w:val="baseline"/>
                              </w:rPr>
                              <w:t xml:space="preserve">info@baileysmedical.com</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7772400" cy="733245"/>
              <wp:effectExtent b="0" l="0" r="0" t="0"/>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772400" cy="733245"/>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tabs>
        <w:tab w:val="center" w:leader="none" w:pos="4680"/>
        <w:tab w:val="right" w:leader="none" w:pos="9360"/>
      </w:tabs>
      <w:jc w:val="center"/>
      <w:rPr>
        <w:color w:val="cc0000"/>
      </w:rPr>
    </w:pPr>
    <w:bookmarkStart w:colFirst="0" w:colLast="0" w:name="_gjdgxs" w:id="0"/>
    <w:bookmarkEnd w:id="0"/>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-828674</wp:posOffset>
          </wp:positionH>
          <wp:positionV relativeFrom="paragraph">
            <wp:posOffset>114300</wp:posOffset>
          </wp:positionV>
          <wp:extent cx="1338263" cy="1045998"/>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38263" cy="1045998"/>
                  </a:xfrm>
                  <a:prstGeom prst="rect"/>
                  <a:ln/>
                </pic:spPr>
              </pic:pic>
            </a:graphicData>
          </a:graphic>
        </wp:anchor>
      </w:drawing>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0" w:right="180" w:firstLine="0"/>
      <w:jc w:val="right"/>
      <w:rPr>
        <w:rFonts w:ascii="Anton" w:cs="Anton" w:eastAsia="Anton" w:hAnsi="Anton"/>
        <w:b w:val="1"/>
        <w:color w:val="f20505"/>
        <w:sz w:val="44"/>
        <w:szCs w:val="44"/>
        <w:u w:val="none"/>
      </w:rPr>
    </w:pPr>
    <w:r w:rsidDel="00000000" w:rsidR="00000000" w:rsidRPr="00000000">
      <w:rPr>
        <w:rFonts w:ascii="Anton" w:cs="Anton" w:eastAsia="Anton" w:hAnsi="Anton"/>
        <w:b w:val="1"/>
        <w:color w:val="f20505"/>
        <w:sz w:val="46"/>
        <w:szCs w:val="46"/>
        <w:u w:val="none"/>
        <w:rtl w:val="0"/>
      </w:rPr>
      <w:t xml:space="preserve"> </w:t>
    </w:r>
    <w:r w:rsidDel="00000000" w:rsidR="00000000" w:rsidRPr="00000000">
      <w:rPr>
        <w:rFonts w:ascii="Anton" w:cs="Anton" w:eastAsia="Anton" w:hAnsi="Anton"/>
        <w:b w:val="1"/>
        <w:color w:val="f20505"/>
        <w:sz w:val="44"/>
        <w:szCs w:val="44"/>
        <w:u w:val="none"/>
        <w:rtl w:val="0"/>
      </w:rPr>
      <w:t xml:space="preserve">Bailey’s Medical Equipment and Supplies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0" w:right="180" w:firstLine="0"/>
      <w:jc w:val="right"/>
      <w:rPr>
        <w:rFonts w:ascii="Anton" w:cs="Anton" w:eastAsia="Anton" w:hAnsi="Anton"/>
        <w:i w:val="1"/>
        <w:color w:val="f20505"/>
        <w:sz w:val="44"/>
        <w:szCs w:val="44"/>
        <w:u w:val="none"/>
      </w:rPr>
    </w:pPr>
    <w:r w:rsidDel="00000000" w:rsidR="00000000" w:rsidRPr="00000000">
      <w:rPr>
        <w:rFonts w:ascii="Anton" w:cs="Anton" w:eastAsia="Anton" w:hAnsi="Anton"/>
        <w:i w:val="1"/>
        <w:color w:val="f20505"/>
        <w:sz w:val="44"/>
        <w:szCs w:val="44"/>
        <w:u w:val="none"/>
        <w:rtl w:val="0"/>
      </w:rPr>
      <w:t xml:space="preserve">“Where patient care is our #1 concern!”</w:t>
    </w:r>
  </w:p>
  <w:p w:rsidR="00000000" w:rsidDel="00000000" w:rsidP="00000000" w:rsidRDefault="00000000" w:rsidRPr="00000000" w14:paraId="00000011">
    <w:pPr>
      <w:rPr>
        <w:rFonts w:ascii="Arial" w:cs="Arial" w:eastAsia="Arial" w:hAnsi="Arial"/>
        <w:sz w:val="22"/>
        <w:szCs w:val="22"/>
        <w:u w:val="none"/>
      </w:rPr>
    </w:pPr>
    <w:bookmarkStart w:colFirst="0" w:colLast="0" w:name="_6dw5zw5zw413" w:id="1"/>
    <w:bookmarkEnd w:id="1"/>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171450</wp:posOffset>
              </wp:positionV>
              <wp:extent cx="7909560" cy="37004"/>
              <wp:effectExtent b="0" l="0" r="0" t="0"/>
              <wp:wrapNone/>
              <wp:docPr id="1" name=""/>
              <a:graphic>
                <a:graphicData uri="http://schemas.microsoft.com/office/word/2010/wordprocessingShape">
                  <wps:wsp>
                    <wps:cNvCnPr/>
                    <wps:spPr>
                      <a:xfrm>
                        <a:off x="717925" y="1278500"/>
                        <a:ext cx="5782800" cy="9900"/>
                      </a:xfrm>
                      <a:prstGeom prst="straightConnector1">
                        <a:avLst/>
                      </a:prstGeom>
                      <a:noFill/>
                      <a:ln cap="flat" cmpd="sng" w="9525">
                        <a:solidFill>
                          <a:srgbClr val="E9050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171450</wp:posOffset>
              </wp:positionV>
              <wp:extent cx="7909560" cy="37004"/>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909560" cy="37004"/>
                      </a:xfrm>
                      <a:prstGeom prst="rect"/>
                      <a:ln/>
                    </pic:spPr>
                  </pic:pic>
                </a:graphicData>
              </a:graphic>
            </wp:anchor>
          </w:drawing>
        </mc:Fallback>
      </mc:AlternateContent>
    </w:r>
  </w:p>
  <w:p w:rsidR="00000000" w:rsidDel="00000000" w:rsidP="00000000" w:rsidRDefault="00000000" w:rsidRPr="00000000" w14:paraId="00000012">
    <w:pPr>
      <w:rPr>
        <w:rFonts w:ascii="Arial" w:cs="Arial" w:eastAsia="Arial" w:hAnsi="Arial"/>
        <w:sz w:val="22"/>
        <w:szCs w:val="22"/>
      </w:rPr>
    </w:pPr>
    <w:bookmarkStart w:colFirst="0" w:colLast="0" w:name="_mtmes2su5czr" w:id="2"/>
    <w:bookmarkEnd w:id="2"/>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228600</wp:posOffset>
              </wp:positionV>
              <wp:extent cx="5943600" cy="719398"/>
              <wp:effectExtent b="0" l="0" r="0" t="0"/>
              <wp:wrapNone/>
              <wp:docPr id="3" name=""/>
              <a:graphic>
                <a:graphicData uri="http://schemas.microsoft.com/office/word/2010/wordprocessingShape">
                  <wps:wsp>
                    <wps:cNvSpPr/>
                    <wps:cNvPr id="5" name="Shape 5"/>
                    <wps:spPr>
                      <a:xfrm>
                        <a:off x="973975" y="1184825"/>
                        <a:ext cx="6586800" cy="783300"/>
                      </a:xfrm>
                      <a:prstGeom prst="rect">
                        <a:avLst/>
                      </a:prstGeom>
                      <a:gradFill>
                        <a:gsLst>
                          <a:gs pos="0">
                            <a:srgbClr val="FF0201"/>
                          </a:gs>
                          <a:gs pos="100000">
                            <a:srgbClr val="C61414"/>
                          </a:gs>
                        </a:gsLst>
                        <a:path path="circle">
                          <a:fillToRect b="50%" l="50%" r="50%" t="50%"/>
                        </a:path>
                        <a:tileRect/>
                      </a:gradFill>
                      <a:ln cap="flat" cmpd="sng" w="9525">
                        <a:solidFill>
                          <a:srgbClr val="FF020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228600</wp:posOffset>
              </wp:positionV>
              <wp:extent cx="5943600" cy="719398"/>
              <wp:effectExtent b="0" l="0" r="0" t="0"/>
              <wp:wrapNone/>
              <wp:docPr id="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5943600" cy="719398"/>
                      </a:xfrm>
                      <a:prstGeom prst="rect"/>
                      <a:ln/>
                    </pic:spPr>
                  </pic:pic>
                </a:graphicData>
              </a:graphic>
            </wp:anchor>
          </w:drawing>
        </mc:Fallback>
      </mc:AlternateContent>
    </w:r>
  </w:p>
  <w:p w:rsidR="00000000" w:rsidDel="00000000" w:rsidP="00000000" w:rsidRDefault="00000000" w:rsidRPr="00000000" w14:paraId="00000013">
    <w:pPr>
      <w:ind w:right="1440"/>
      <w:rPr>
        <w:rFonts w:ascii="Arial" w:cs="Arial" w:eastAsia="Arial" w:hAnsi="Arial"/>
        <w:sz w:val="22"/>
        <w:szCs w:val="22"/>
      </w:rPr>
    </w:pPr>
    <w:bookmarkStart w:colFirst="0" w:colLast="0" w:name="_mtmes2su5czr" w:id="2"/>
    <w:bookmarkEnd w:id="2"/>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u w:val="single"/>
        <w:lang w:val="en-US"/>
      </w:rPr>
    </w:rPrDefault>
    <w:pPrDefault>
      <w:pPr>
        <w:ind w:right="144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cms.gov/Research-Statistics-Data-and-Systems/Monitoring-Programs/Medicare-FFS-CompliancePrograms/Medical-Review/Downloads/DetailedWrittenOrdersandFacetoFaceEncounters.pdf" TargetMode="External"/><Relationship Id="rId7" Type="http://schemas.openxmlformats.org/officeDocument/2006/relationships/hyperlink" Target="http://www.cgsmedicare.com/pdf/f2f_wo_requirements_highcostdme.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